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0" w:rsidRDefault="00BE13E0" w:rsidP="002D4EC4">
      <w:pPr>
        <w:spacing w:after="0" w:line="240" w:lineRule="auto"/>
        <w:rPr>
          <w:rFonts w:ascii="Times New Roman Tj" w:hAnsi="Times New Roman Tj"/>
          <w:sz w:val="28"/>
          <w:szCs w:val="24"/>
        </w:rPr>
      </w:pPr>
      <w:bookmarkStart w:id="0" w:name="_GoBack"/>
      <w:bookmarkEnd w:id="0"/>
    </w:p>
    <w:p w:rsidR="00BE13E0" w:rsidRDefault="00BE13E0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</w:p>
    <w:p w:rsidR="008708FC" w:rsidRPr="00591006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  <w:proofErr w:type="spellStart"/>
      <w:r w:rsidRPr="00591006">
        <w:rPr>
          <w:rFonts w:ascii="Times New Roman Tj" w:hAnsi="Times New Roman Tj"/>
          <w:sz w:val="28"/>
          <w:szCs w:val="24"/>
        </w:rPr>
        <w:t>Мавзўъњои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тавсиявии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илмї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–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тањќиќотї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</w:p>
    <w:p w:rsidR="008708FC" w:rsidRPr="00591006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  <w:proofErr w:type="spellStart"/>
      <w:r w:rsidRPr="00591006">
        <w:rPr>
          <w:rFonts w:ascii="Times New Roman Tj" w:hAnsi="Times New Roman Tj"/>
          <w:sz w:val="28"/>
          <w:szCs w:val="24"/>
        </w:rPr>
        <w:t>барои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Академияи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хурди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илмї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дар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самти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педагогика </w:t>
      </w:r>
      <w:proofErr w:type="spellStart"/>
      <w:r w:rsidRPr="00591006">
        <w:rPr>
          <w:rFonts w:ascii="Times New Roman Tj" w:hAnsi="Times New Roman Tj"/>
          <w:sz w:val="28"/>
          <w:szCs w:val="24"/>
        </w:rPr>
        <w:t>ва</w:t>
      </w:r>
      <w:proofErr w:type="spellEnd"/>
      <w:r w:rsidRPr="00591006">
        <w:rPr>
          <w:rFonts w:ascii="Times New Roman Tj" w:hAnsi="Times New Roman Tj"/>
          <w:sz w:val="28"/>
          <w:szCs w:val="24"/>
        </w:rPr>
        <w:t xml:space="preserve"> психология</w:t>
      </w:r>
    </w:p>
    <w:p w:rsidR="008708FC" w:rsidRPr="00591006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</w:p>
    <w:p w:rsidR="008708FC" w:rsidRPr="00591006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  <w:r w:rsidRPr="00591006">
        <w:rPr>
          <w:rFonts w:ascii="Times New Roman Tj" w:hAnsi="Times New Roman Tj"/>
          <w:sz w:val="28"/>
          <w:szCs w:val="24"/>
        </w:rPr>
        <w:t xml:space="preserve">Рекомендуемая тематика </w:t>
      </w:r>
    </w:p>
    <w:p w:rsidR="008708FC" w:rsidRPr="00591006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  <w:r w:rsidRPr="00591006">
        <w:rPr>
          <w:rFonts w:ascii="Times New Roman Tj" w:hAnsi="Times New Roman Tj"/>
          <w:sz w:val="28"/>
          <w:szCs w:val="24"/>
        </w:rPr>
        <w:t>научных исследований Малой академии наук  по педагогике и психологии</w:t>
      </w:r>
    </w:p>
    <w:p w:rsidR="008708FC" w:rsidRPr="00591006" w:rsidRDefault="008708FC" w:rsidP="008708FC">
      <w:pPr>
        <w:spacing w:after="0" w:line="240" w:lineRule="auto"/>
        <w:rPr>
          <w:rFonts w:ascii="Times New Roman Tj" w:hAnsi="Times New Roman Tj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1134"/>
        <w:gridCol w:w="958"/>
      </w:tblGrid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00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006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006">
              <w:rPr>
                <w:rFonts w:ascii="Times New Roman" w:hAnsi="Times New Roman" w:cs="Times New Roman"/>
                <w:b/>
                <w:sz w:val="28"/>
                <w:szCs w:val="24"/>
              </w:rPr>
              <w:t>Ф.И.О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006">
              <w:rPr>
                <w:rFonts w:ascii="Times New Roman" w:hAnsi="Times New Roman" w:cs="Times New Roman"/>
                <w:b/>
                <w:sz w:val="28"/>
                <w:szCs w:val="24"/>
              </w:rPr>
              <w:t>Школа, класс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91006">
              <w:rPr>
                <w:rFonts w:ascii="Times New Roman" w:hAnsi="Times New Roman" w:cs="Times New Roman"/>
                <w:b/>
                <w:sz w:val="28"/>
                <w:szCs w:val="24"/>
              </w:rPr>
              <w:t>телефон</w:t>
            </w: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8FC" w:rsidRPr="00591006" w:rsidRDefault="008708FC" w:rsidP="00213E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Роль неречевых сре</w:t>
            </w:r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дств в пр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оцессе общения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Комплекс неполноценности как препятствующий фактор личностного развития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Интуиция в творческой работе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Психологические проблемы подросткового возраста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Необходимость внедрение идеи инклюзии в образование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Усвоение учебной терминологии путём мнемотехники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Конфликты среди учащихся и пути их решения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Психологические критерий выбора профессии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Здоровый образ жизни и его роль в избавлении от вредных привычек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Умственные способности и их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Механическое и смысловое запоминание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Отношение учителя с учащихся на основе свойств их темперамента и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Психолог как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Условные рефлексы как физиологическая основа 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Нравственное воспитание и его роль в формирование личности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Самовоспитание и саморазвитие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Научные основы гипноза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Подсознание и его содержание</w:t>
            </w:r>
          </w:p>
          <w:p w:rsidR="008708FC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</w:t>
            </w: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Психологические проблемы в использовании интернета и других коммуникационных технологий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Стрессы, связанные с учёбой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Роль школьной организации имени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И.Сомони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в формировании личности школьников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Культура внешнего вида ученика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Игра и её роль в жизни школьника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Поощрение и наказание в воспитании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Общение и формирование личности школьников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О развитии образовании в Таджикистане «1990-2010»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Методика воспитательной работы в школе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Становление личности и средовая адаптация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Коллектив и личность школьника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Самовоспитание  и его роль в формировании  личности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Ручной труд – основа деятельности школьников в процессе изучения технологии профессии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Тарбияи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ватандўстии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раванди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омўзиши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таълими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ибтидоии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њарбї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(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омодагї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ба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хизмат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сафи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ќуввањои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мусаллањи</w:t>
            </w:r>
            <w:proofErr w:type="spellEnd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ољикистон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Кашфиёти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маънавии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љараёни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корњои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эљодї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Ихтирооти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техникии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–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ташаккули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инноватсионии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истењсолоти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ватанї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Муътадил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гардонидани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вазъи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башардў</w:t>
            </w:r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ст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мактабњои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забони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таълимашан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омехта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ба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ќайдгирии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раванди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педагогї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– психологии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кўдакону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наврасони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душвортарбия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МТМУ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Зебоипарастии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lastRenderedPageBreak/>
              <w:t>љараёни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тањия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љњизонидани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утоќњои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фаннї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</w:t>
            </w: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Худшиносии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миллї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–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устуворию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пойдории</w:t>
            </w:r>
            <w:proofErr w:type="spellEnd"/>
            <w:r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истиќлол</w:t>
            </w:r>
            <w:proofErr w:type="spellEnd"/>
            <w:r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Арљгузорї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арзишњои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давлатї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–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омили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тарбияи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худшиносї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худого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њї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Таъмин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намудани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њамкории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мактабу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оила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ањли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љомеа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доираи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татбиќи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Ќонуни</w:t>
            </w:r>
            <w:proofErr w:type="spellEnd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ЉТ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«Дар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бораи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масъулияти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падару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модар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тарбияи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фарзанд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педагогию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фалсафии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дини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мубини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Ислом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камолоти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маънавию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ахлоќии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rPr>
          <w:trHeight w:val="25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Пешгирї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намудани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таъсири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манфии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фанатизми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исломгарої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низоъњои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мазњабпарастї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байни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кўдакону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наврасон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(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намозгузории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кўдакону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наврасон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р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ўзњои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љумъа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,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рўзњои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идњои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рамазону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ќурбон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,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вохурї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њољиён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,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амри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маъруфи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муллоњо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туйњо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ѓ-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rPr>
          <w:trHeight w:val="6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Ањамияти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воситањои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ѓайришифоњї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раванди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муошират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Комплекси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номукаммалї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њамчун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омили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монеашавандаи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рушди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шахсият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Интуитсия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кори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эљодї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4</w:t>
            </w:r>
            <w:r>
              <w:rPr>
                <w:rFonts w:ascii="Times New Roman Tj" w:hAnsi="Times New Roman Tj"/>
                <w:sz w:val="28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Мушкилоти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психологии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давраи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наврасї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Татбиќи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ѓояи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инклюзия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тањсилот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Азхудкунии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истилоњоти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фаннї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тавассути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мнемотехника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Низоъњо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байни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роњњои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пешгирии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Меъёрњои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психологии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интихоби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Валеология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ањамияти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амалии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Ќобилиятњ</w:t>
            </w:r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ои</w:t>
            </w:r>
            <w:proofErr w:type="spellEnd"/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аќлї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ташаккулдињии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онњо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Бахотиргирии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маъногї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механикї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Муносибат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бо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хусусиятњои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мизољ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характери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lastRenderedPageBreak/>
              <w:t>онњо</w:t>
            </w:r>
            <w:proofErr w:type="spellEnd"/>
          </w:p>
          <w:p w:rsidR="008708FC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</w:t>
            </w: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Психолог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њамчун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мутахассис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Рефлексњои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шартї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њамчун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физиологии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омўзиш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ёдгирї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 w:rsidRPr="00591006">
              <w:rPr>
                <w:rFonts w:ascii="Times New Roman Tj" w:hAnsi="Times New Roman Tj"/>
                <w:sz w:val="28"/>
                <w:szCs w:val="24"/>
              </w:rPr>
              <w:t>5</w:t>
            </w:r>
            <w:r>
              <w:rPr>
                <w:rFonts w:ascii="Times New Roman Tj" w:hAnsi="Times New Roman Tj"/>
                <w:sz w:val="28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Тарбияи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эстетикии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хонандагон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Худтарбиянамої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худташаккулдињї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Асосњои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илмии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гипноз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Зершуур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муњтавои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Мушкилоти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психологї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дар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истифодаи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интернет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ва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дигар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технологияи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иртиботї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  <w:tr w:rsidR="008708FC" w:rsidRPr="00591006" w:rsidTr="00213E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r>
              <w:rPr>
                <w:rFonts w:ascii="Times New Roman Tj" w:hAnsi="Times New Roman Tj"/>
                <w:sz w:val="28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Стрессњои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алоќаманд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591006">
              <w:rPr>
                <w:rFonts w:ascii="Times New Roman Tj" w:hAnsi="Times New Roman Tj"/>
                <w:sz w:val="28"/>
                <w:szCs w:val="24"/>
              </w:rPr>
              <w:t>бо</w:t>
            </w:r>
            <w:proofErr w:type="spellEnd"/>
            <w:r w:rsidRPr="00591006">
              <w:rPr>
                <w:rFonts w:ascii="Times New Roman Tj" w:hAnsi="Times New Roman Tj"/>
                <w:sz w:val="28"/>
                <w:szCs w:val="24"/>
              </w:rPr>
              <w:t xml:space="preserve"> </w:t>
            </w:r>
            <w:proofErr w:type="spellStart"/>
            <w:r w:rsidRPr="00591006">
              <w:rPr>
                <w:rFonts w:ascii="Times New Roman Tj" w:hAnsi="Times New Roman Tj"/>
                <w:sz w:val="28"/>
                <w:szCs w:val="24"/>
              </w:rPr>
              <w:t>та</w:t>
            </w:r>
            <w:proofErr w:type="gramEnd"/>
            <w:r w:rsidRPr="00591006">
              <w:rPr>
                <w:rFonts w:ascii="Times New Roman Tj" w:hAnsi="Times New Roman Tj"/>
                <w:sz w:val="28"/>
                <w:szCs w:val="24"/>
              </w:rPr>
              <w:t>њсилот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FC" w:rsidRPr="00591006" w:rsidRDefault="008708FC" w:rsidP="00213EF4">
            <w:pPr>
              <w:rPr>
                <w:rFonts w:ascii="Times New Roman Tj" w:hAnsi="Times New Roman Tj"/>
                <w:sz w:val="28"/>
                <w:szCs w:val="24"/>
              </w:rPr>
            </w:pPr>
          </w:p>
        </w:tc>
      </w:tr>
    </w:tbl>
    <w:p w:rsidR="008708FC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</w:p>
    <w:p w:rsidR="008708FC" w:rsidRDefault="008708FC" w:rsidP="008708FC">
      <w:pPr>
        <w:spacing w:after="0" w:line="240" w:lineRule="auto"/>
        <w:rPr>
          <w:rFonts w:ascii="Times New Roman Tj" w:hAnsi="Times New Roman Tj"/>
          <w:sz w:val="28"/>
          <w:szCs w:val="24"/>
        </w:rPr>
      </w:pPr>
      <w:r>
        <w:rPr>
          <w:rFonts w:ascii="Times New Roman Tj" w:hAnsi="Times New Roman Tj"/>
          <w:sz w:val="28"/>
          <w:szCs w:val="24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4"/>
        </w:rPr>
        <w:t>Мудири</w:t>
      </w:r>
      <w:proofErr w:type="spellEnd"/>
      <w:r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>
        <w:rPr>
          <w:rFonts w:ascii="Times New Roman Tj" w:hAnsi="Times New Roman Tj"/>
          <w:sz w:val="28"/>
          <w:szCs w:val="24"/>
        </w:rPr>
        <w:t>шуъбаи</w:t>
      </w:r>
      <w:proofErr w:type="spellEnd"/>
      <w:r>
        <w:rPr>
          <w:rFonts w:ascii="Times New Roman Tj" w:hAnsi="Times New Roman Tj"/>
          <w:sz w:val="28"/>
          <w:szCs w:val="24"/>
        </w:rPr>
        <w:t xml:space="preserve"> педагогика </w:t>
      </w:r>
    </w:p>
    <w:p w:rsidR="008708FC" w:rsidRDefault="008708FC" w:rsidP="008708FC">
      <w:pPr>
        <w:spacing w:after="0" w:line="240" w:lineRule="auto"/>
        <w:rPr>
          <w:rFonts w:ascii="Times New Roman Tj" w:hAnsi="Times New Roman Tj"/>
          <w:sz w:val="28"/>
          <w:szCs w:val="24"/>
        </w:rPr>
      </w:pPr>
      <w:r>
        <w:rPr>
          <w:rFonts w:ascii="Times New Roman Tj" w:hAnsi="Times New Roman Tj"/>
          <w:sz w:val="28"/>
          <w:szCs w:val="24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4"/>
        </w:rPr>
        <w:t>ва</w:t>
      </w:r>
      <w:proofErr w:type="spellEnd"/>
      <w:r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>
        <w:rPr>
          <w:rFonts w:ascii="Times New Roman Tj" w:hAnsi="Times New Roman Tj"/>
          <w:sz w:val="28"/>
          <w:szCs w:val="24"/>
        </w:rPr>
        <w:t>психологияи</w:t>
      </w:r>
      <w:proofErr w:type="spellEnd"/>
      <w:r>
        <w:rPr>
          <w:rFonts w:ascii="Times New Roman Tj" w:hAnsi="Times New Roman Tj"/>
          <w:sz w:val="28"/>
          <w:szCs w:val="24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4"/>
        </w:rPr>
        <w:t>Пажўњишг</w:t>
      </w:r>
      <w:proofErr w:type="spellEnd"/>
    </w:p>
    <w:p w:rsidR="008708FC" w:rsidRDefault="008708FC" w:rsidP="008708FC">
      <w:pPr>
        <w:spacing w:after="0" w:line="240" w:lineRule="auto"/>
        <w:rPr>
          <w:rFonts w:ascii="Times New Roman Tj" w:hAnsi="Times New Roman Tj"/>
          <w:sz w:val="28"/>
          <w:szCs w:val="24"/>
        </w:rPr>
      </w:pPr>
      <w:r>
        <w:rPr>
          <w:rFonts w:ascii="Times New Roman Tj" w:hAnsi="Times New Roman Tj"/>
          <w:sz w:val="28"/>
          <w:szCs w:val="24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4"/>
        </w:rPr>
        <w:t>оњи</w:t>
      </w:r>
      <w:proofErr w:type="spellEnd"/>
      <w:r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>
        <w:rPr>
          <w:rFonts w:ascii="Times New Roman Tj" w:hAnsi="Times New Roman Tj"/>
          <w:sz w:val="28"/>
          <w:szCs w:val="24"/>
        </w:rPr>
        <w:t>рушди</w:t>
      </w:r>
      <w:proofErr w:type="spellEnd"/>
      <w:r>
        <w:rPr>
          <w:rFonts w:ascii="Times New Roman Tj" w:hAnsi="Times New Roman Tj"/>
          <w:sz w:val="28"/>
          <w:szCs w:val="24"/>
        </w:rPr>
        <w:t xml:space="preserve"> </w:t>
      </w:r>
      <w:proofErr w:type="spellStart"/>
      <w:r>
        <w:rPr>
          <w:rFonts w:ascii="Times New Roman Tj" w:hAnsi="Times New Roman Tj"/>
          <w:sz w:val="28"/>
          <w:szCs w:val="24"/>
        </w:rPr>
        <w:t>маориф</w:t>
      </w:r>
      <w:proofErr w:type="spellEnd"/>
      <w:r>
        <w:rPr>
          <w:rFonts w:ascii="Times New Roman Tj" w:hAnsi="Times New Roman Tj"/>
          <w:sz w:val="28"/>
          <w:szCs w:val="24"/>
        </w:rPr>
        <w:t xml:space="preserve"> и АТТ                                                  И. </w:t>
      </w:r>
      <w:proofErr w:type="spellStart"/>
      <w:r>
        <w:rPr>
          <w:rFonts w:ascii="Times New Roman Tj" w:hAnsi="Times New Roman Tj"/>
          <w:sz w:val="28"/>
          <w:szCs w:val="24"/>
        </w:rPr>
        <w:t>Давлатшоев</w:t>
      </w:r>
      <w:proofErr w:type="spellEnd"/>
    </w:p>
    <w:p w:rsidR="008708FC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</w:p>
    <w:p w:rsidR="008708FC" w:rsidRDefault="008708FC" w:rsidP="008708FC">
      <w:pPr>
        <w:spacing w:after="0" w:line="240" w:lineRule="auto"/>
        <w:jc w:val="center"/>
        <w:rPr>
          <w:rFonts w:ascii="Times New Roman Tj" w:hAnsi="Times New Roman Tj"/>
          <w:sz w:val="28"/>
          <w:szCs w:val="24"/>
        </w:rPr>
      </w:pPr>
    </w:p>
    <w:p w:rsidR="00493A92" w:rsidRDefault="00493A92"/>
    <w:sectPr w:rsidR="004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C"/>
    <w:rsid w:val="002D4EC4"/>
    <w:rsid w:val="00493A92"/>
    <w:rsid w:val="008708FC"/>
    <w:rsid w:val="00936EC9"/>
    <w:rsid w:val="00BE13E0"/>
    <w:rsid w:val="00D64FE1"/>
    <w:rsid w:val="00E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dcterms:created xsi:type="dcterms:W3CDTF">2013-01-20T15:51:00Z</dcterms:created>
  <dcterms:modified xsi:type="dcterms:W3CDTF">2013-01-20T15:59:00Z</dcterms:modified>
</cp:coreProperties>
</file>